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2.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media/image1.png" ContentType="image/png"/>
  <Override PartName="/word/media/image2.png" ContentType="image/png"/>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20"/>
          <w:tab w:val="left" w:pos="3609" w:leader="none"/>
        </w:tabs>
        <w:rPr/>
      </w:pPr>
      <w:permStart w:id="1631011322" w:edGrp="4"/>
      <w:permStart w:id="1631011322" w:edGrp="3"/>
      <w:permStart w:id="1631011322" w:edGrp="2"/>
      <w:permStart w:id="1631011322" w:edGrp="everyone1"/>
      <w:permStart w:id="1631011322" w:edGrp="everyone111"/>
      <w:permStart w:id="1631011322" w:edGrp="1"/>
      <w:permStart w:id="1631011322" w:edGrp="everyone11"/>
      <w:permStart w:id="1631011322" w:edGrp=""/>
      <w:permStart w:id="1631011322" w:edGrp="4"/>
      <w:permStart w:id="1631011322" w:edGrp="3"/>
      <w:permStart w:id="1631011322" w:edGrp="2"/>
      <w:permStart w:id="1631011322" w:edGrp="everyone1"/>
      <w:permStart w:id="1631011322" w:edGrp="everyone111"/>
      <w:permStart w:id="1631011322" w:edGrp="1"/>
      <w:permStart w:id="1631011322" w:edGrp="everyone11"/>
      <w:permStart w:id="1631011322" w:edGrp=""/>
      <w:r>
        <w:rPr/>
      </w:r>
      <w:permEnd w:id="1631011322"/>
      <w:permEnd w:id="1631011322"/>
      <w:permEnd w:id="1631011322"/>
      <w:permEnd w:id="1631011322"/>
      <w:permEnd w:id="1631011322"/>
      <w:permEnd w:id="1631011322"/>
      <w:permEnd w:id="1631011322"/>
      <w:permEnd w:id="1631011322"/>
      <w:permEnd w:id="1631011322"/>
      <w:permEnd w:id="1631011322"/>
      <w:permEnd w:id="1631011322"/>
      <w:permEnd w:id="1631011322"/>
      <w:permEnd w:id="1631011322"/>
      <w:permEnd w:id="1631011322"/>
      <w:permEnd w:id="1631011322"/>
      <w:permEnd w:id="1631011322"/>
    </w:p>
    <w:p>
      <w:pPr>
        <w:sectPr>
          <w:headerReference w:type="default" r:id="rId2"/>
          <w:headerReference w:type="first" r:id="rId3"/>
          <w:footerReference w:type="default" r:id="rId4"/>
          <w:footerReference w:type="first" r:id="rId5"/>
          <w:type w:val="nextPage"/>
          <w:pgSz w:w="11906" w:h="16838"/>
          <w:pgMar w:left="1134" w:right="1134" w:header="708" w:top="1417" w:footer="708" w:bottom="1134" w:gutter="0"/>
          <w:pgNumType w:fmt="decimal"/>
          <w:formProt w:val="false"/>
          <w:titlePg/>
          <w:textDirection w:val="lrTb"/>
          <w:docGrid w:type="default" w:linePitch="360" w:charSpace="4096"/>
        </w:sectPr>
      </w:pPr>
    </w:p>
    <w:p>
      <w:pPr>
        <w:pStyle w:val="Normal"/>
        <w:tabs>
          <w:tab w:val="clear" w:pos="720"/>
          <w:tab w:val="left" w:pos="6836" w:leader="none"/>
        </w:tabs>
        <w:rPr>
          <w:rFonts w:ascii="DejaVu Serif" w:hAnsi="DejaVu Serif"/>
          <w:sz w:val="24"/>
          <w:szCs w:val="24"/>
        </w:rPr>
      </w:pPr>
      <w:permStart w:id="1631011322" w:edGrp="7"/>
      <w:permStart w:id="1631011322" w:edGrp="6"/>
      <w:permStart w:id="1631011322" w:edGrp="5"/>
      <w:permStart w:id="1631011322" w:edGrp="everyone3"/>
      <w:permStart w:id="1631011322" w:edGrp="everyone311"/>
      <w:permStart w:id="1631011322" w:edGrp="12"/>
      <w:permStart w:id="1631011322" w:edGrp="everyone31"/>
      <w:permStart w:id="1631011322" w:edGrp="11"/>
      <w:permStart w:id="1631011322" w:edGrp="7"/>
      <w:permStart w:id="1631011322" w:edGrp="6"/>
      <w:permStart w:id="1631011322" w:edGrp="5"/>
      <w:permStart w:id="1631011322" w:edGrp="everyone3"/>
      <w:permStart w:id="1631011322" w:edGrp="everyone311"/>
      <w:permStart w:id="1631011322" w:edGrp="12"/>
      <w:permStart w:id="1631011322" w:edGrp="everyone31"/>
      <w:permStart w:id="1631011322" w:edGrp="11"/>
      <w:r>
        <w:rPr>
          <w:rFonts w:ascii="DejaVu Serif" w:hAnsi="DejaVu Serif"/>
          <w:sz w:val="24"/>
          <w:szCs w:val="24"/>
        </w:rPr>
      </w:r>
      <w:permEnd w:id="1631011322"/>
      <w:permEnd w:id="1631011322"/>
      <w:permEnd w:id="1631011322"/>
      <w:permEnd w:id="1631011322"/>
      <w:permEnd w:id="1631011322"/>
      <w:permEnd w:id="1631011322"/>
      <w:permEnd w:id="1631011322"/>
      <w:permEnd w:id="1631011322"/>
      <w:permEnd w:id="1631011322"/>
      <w:permEnd w:id="1631011322"/>
      <w:permEnd w:id="1631011322"/>
      <w:permEnd w:id="1631011322"/>
      <w:permEnd w:id="1631011322"/>
      <w:permEnd w:id="1631011322"/>
      <w:permEnd w:id="1631011322"/>
      <w:permEnd w:id="1631011322"/>
    </w:p>
    <w:p>
      <w:pPr>
        <w:pStyle w:val="Normal"/>
        <w:tabs>
          <w:tab w:val="clear" w:pos="720"/>
          <w:tab w:val="left" w:pos="6836" w:leader="none"/>
        </w:tabs>
        <w:jc w:val="center"/>
        <w:rPr>
          <w:rFonts w:ascii="DejaVu Serif" w:hAnsi="DejaVu Serif"/>
          <w:b/>
          <w:b/>
          <w:bCs/>
          <w:sz w:val="24"/>
          <w:szCs w:val="24"/>
          <w:u w:val="single"/>
        </w:rPr>
      </w:pPr>
      <w:r>
        <w:rPr>
          <w:rFonts w:ascii="DejaVu Serif" w:hAnsi="DejaVu Serif"/>
          <w:b/>
          <w:bCs/>
          <w:sz w:val="24"/>
          <w:szCs w:val="24"/>
          <w:u w:val="single"/>
        </w:rPr>
        <w:t>CRITERI DI AGGIUDICAZIONE AL PREZZO PIÙ BASSO</w:t>
      </w:r>
    </w:p>
    <w:p>
      <w:pPr>
        <w:pStyle w:val="Normal"/>
        <w:tabs>
          <w:tab w:val="clear" w:pos="720"/>
          <w:tab w:val="left" w:pos="6836" w:leader="none"/>
        </w:tabs>
        <w:jc w:val="center"/>
        <w:rPr>
          <w:rFonts w:ascii="DejaVu Serif" w:hAnsi="DejaVu Serif"/>
          <w:b/>
          <w:b/>
          <w:bCs/>
          <w:sz w:val="24"/>
          <w:szCs w:val="24"/>
          <w:u w:val="single"/>
        </w:rPr>
      </w:pPr>
      <w:r>
        <w:rPr>
          <w:rFonts w:ascii="DejaVu Serif" w:hAnsi="DejaVu Serif"/>
          <w:b/>
          <w:bCs/>
          <w:sz w:val="24"/>
          <w:szCs w:val="24"/>
          <w:u w:val="single"/>
        </w:rPr>
      </w:r>
    </w:p>
    <w:p>
      <w:pPr>
        <w:pStyle w:val="Normal"/>
        <w:widowControl/>
        <w:numPr>
          <w:ilvl w:val="0"/>
          <w:numId w:val="1"/>
        </w:numPr>
        <w:tabs>
          <w:tab w:val="clear" w:pos="720"/>
          <w:tab w:val="left" w:pos="6836" w:leader="none"/>
        </w:tabs>
        <w:suppressAutoHyphens w:val="true"/>
        <w:bidi w:val="0"/>
        <w:spacing w:lineRule="auto" w:line="259" w:before="0" w:after="160"/>
        <w:ind w:left="360" w:right="0" w:hanging="360"/>
        <w:jc w:val="both"/>
        <w:rPr>
          <w:rFonts w:ascii="DejaVu Serif" w:hAnsi="DejaVu Serif"/>
          <w:b w:val="false"/>
          <w:b w:val="false"/>
          <w:bCs w:val="false"/>
          <w:sz w:val="24"/>
          <w:szCs w:val="24"/>
          <w:u w:val="none"/>
        </w:rPr>
      </w:pPr>
      <w:r>
        <w:rPr>
          <w:rFonts w:ascii="DejaVu Serif" w:hAnsi="DejaVu Serif"/>
          <w:b w:val="false"/>
          <w:bCs w:val="false"/>
          <w:sz w:val="24"/>
          <w:szCs w:val="24"/>
          <w:u w:val="none"/>
        </w:rPr>
        <w:t xml:space="preserve">Verranno escluse dalla procedura di selezione le offerte che propongono prodotti alternativi a quelli indicati nella scheda tecnica della richiesta di offerta (RdO), in tutti i casi in cui le caratteristiche del prodotto richiesto, ivi inclusi il produttore ed il modello, siano da indicare obbligatoriamente nell’offerta e presentino, come regola di ammissione, quella del “valore unico ammesso”. L’esclusione si applica anche nei casi in cui la Ditta offerente alleghi documentazione a supporto dell’equivalenza o della migliore qualità del prodotto alternativo offerto rispetto a quello richiesto. </w:t>
      </w:r>
      <w:r>
        <w:rPr>
          <w:rFonts w:ascii="DejaVu Serif" w:hAnsi="DejaVu Serif"/>
          <w:b w:val="false"/>
          <w:bCs w:val="false"/>
          <w:sz w:val="24"/>
          <w:szCs w:val="24"/>
          <w:u w:val="none"/>
        </w:rPr>
        <w:t xml:space="preserve">Le Ditte offerenti sono invitate, nei casi sopra descritti, a </w:t>
      </w:r>
      <w:r>
        <w:rPr>
          <w:rFonts w:ascii="DejaVu Serif" w:hAnsi="DejaVu Serif"/>
          <w:b/>
          <w:bCs/>
          <w:sz w:val="24"/>
          <w:szCs w:val="24"/>
          <w:u w:val="none"/>
        </w:rPr>
        <w:t>non allegare nelle sezioni riservate alla documenta</w:t>
        <w:softHyphen/>
        <w:t>zione amministrativa alcuna documentazione tecnica</w:t>
      </w:r>
      <w:r>
        <w:rPr>
          <w:rFonts w:ascii="DejaVu Serif" w:hAnsi="DejaVu Serif"/>
          <w:b w:val="false"/>
          <w:bCs w:val="false"/>
          <w:sz w:val="24"/>
          <w:szCs w:val="24"/>
          <w:u w:val="none"/>
        </w:rPr>
        <w:t xml:space="preserve"> dei prodotti offerti, proprio perché le loro caratteristiche sono oggetto della richiesta.</w:t>
      </w:r>
    </w:p>
    <w:p>
      <w:pPr>
        <w:pStyle w:val="Normal"/>
        <w:widowControl/>
        <w:numPr>
          <w:ilvl w:val="0"/>
          <w:numId w:val="1"/>
        </w:numPr>
        <w:tabs>
          <w:tab w:val="clear" w:pos="720"/>
          <w:tab w:val="left" w:pos="6836" w:leader="none"/>
        </w:tabs>
        <w:suppressAutoHyphens w:val="true"/>
        <w:bidi w:val="0"/>
        <w:spacing w:lineRule="auto" w:line="259" w:before="0" w:after="160"/>
        <w:ind w:left="360" w:right="0" w:hanging="360"/>
        <w:jc w:val="both"/>
        <w:rPr>
          <w:rFonts w:ascii="DejaVu Serif" w:hAnsi="DejaVu Serif"/>
          <w:b w:val="false"/>
          <w:b w:val="false"/>
          <w:bCs w:val="false"/>
          <w:sz w:val="24"/>
          <w:szCs w:val="24"/>
          <w:u w:val="none"/>
        </w:rPr>
      </w:pPr>
      <w:r>
        <w:rPr>
          <w:rFonts w:ascii="DejaVu Serif" w:hAnsi="DejaVu Serif"/>
          <w:b w:val="false"/>
          <w:bCs w:val="false"/>
          <w:sz w:val="24"/>
          <w:szCs w:val="24"/>
          <w:u w:val="none"/>
        </w:rPr>
        <w:t>In applicazione dell’art.97, comma 8, del Codice dei Contratti Pubblici (D. L.gvo n. 50 del 18 aprile 2016, aggiornato alle modifiche della legge 27/2020), nel caso di 10 o più offerte giudicate valide a seguito della valutazione amministrativa e a seguito della valutazione tecnica in cui si applicherà il criterio del precedente punto 1, verranno escluse dalla selezione tutte le offerte giudicate valide ma risultanti “anomale” in quanto aventi valore economico inferiore o uguale alla soglia di anomalia. La soglia di anomalia viene calcolata applicando quanto disposto dall’art. 97, commi 2 e 2-bis, del citato Codice dei Contratti Pubblici. Tutti i calcoli effettuati in applicazione dell’art. 97 verranno effettuati partendo da percentuali di ribasso calcolate per ogni offerta come percentuale di ribasso del suo valore economico rispetto all’i</w:t>
      </w:r>
      <w:r>
        <w:rPr>
          <w:rFonts w:ascii="DejaVu Serif" w:hAnsi="DejaVu Serif"/>
          <w:b w:val="false"/>
          <w:bCs w:val="false"/>
          <w:i w:val="false"/>
          <w:caps w:val="false"/>
          <w:smallCaps w:val="false"/>
          <w:spacing w:val="0"/>
          <w:sz w:val="24"/>
          <w:szCs w:val="24"/>
          <w:u w:val="none"/>
        </w:rPr>
        <w:t>mporto dell'appalto oggetto di offerta (base d'asta). Tali percentuali verranno determinate con tre cifre decimali dopo la virgola, avendo  cioè eliminato tutte le eventuali cifre decimali oltre la terza. Nel caso di meno di 10 offerte giudicate valide, nessuna di essere risulterà “anomala”.</w:t>
      </w:r>
    </w:p>
    <w:p>
      <w:pPr>
        <w:pStyle w:val="Normal"/>
        <w:widowControl/>
        <w:numPr>
          <w:ilvl w:val="0"/>
          <w:numId w:val="1"/>
        </w:numPr>
        <w:tabs>
          <w:tab w:val="clear" w:pos="720"/>
          <w:tab w:val="left" w:pos="6836" w:leader="none"/>
        </w:tabs>
        <w:suppressAutoHyphens w:val="true"/>
        <w:bidi w:val="0"/>
        <w:spacing w:lineRule="auto" w:line="259" w:before="0" w:after="160"/>
        <w:ind w:left="360" w:right="0" w:hanging="360"/>
        <w:jc w:val="both"/>
        <w:rPr>
          <w:rFonts w:ascii="DejaVu Serif" w:hAnsi="DejaVu Serif"/>
          <w:b w:val="false"/>
          <w:b w:val="false"/>
          <w:bCs w:val="false"/>
          <w:sz w:val="24"/>
          <w:szCs w:val="24"/>
          <w:u w:val="none"/>
        </w:rPr>
      </w:pPr>
      <w:r>
        <w:rPr>
          <w:rFonts w:ascii="DejaVu Serif" w:hAnsi="DejaVu Serif"/>
          <w:b w:val="false"/>
          <w:bCs w:val="false"/>
          <w:sz w:val="24"/>
          <w:szCs w:val="24"/>
          <w:u w:val="none"/>
        </w:rPr>
        <w:t xml:space="preserve">Tra le offerte non </w:t>
      </w:r>
      <w:r>
        <w:rPr>
          <w:rFonts w:eastAsia="Calibri" w:cs="" w:ascii="DejaVu Serif" w:hAnsi="DejaVu Serif" w:cstheme="minorBidi" w:eastAsiaTheme="minorHAnsi"/>
          <w:b w:val="false"/>
          <w:bCs w:val="false"/>
          <w:color w:val="auto"/>
          <w:kern w:val="0"/>
          <w:sz w:val="24"/>
          <w:szCs w:val="24"/>
          <w:u w:val="none"/>
          <w:lang w:val="it-IT" w:eastAsia="en-US" w:bidi="ar-SA"/>
        </w:rPr>
        <w:t>risultanti</w:t>
      </w:r>
      <w:r>
        <w:rPr>
          <w:rFonts w:ascii="DejaVu Serif" w:hAnsi="DejaVu Serif"/>
          <w:b w:val="false"/>
          <w:bCs w:val="false"/>
          <w:sz w:val="24"/>
          <w:szCs w:val="24"/>
          <w:u w:val="none"/>
        </w:rPr>
        <w:t xml:space="preserve"> come “anomale” l’appalto verrà aggiudicato dalla Ditta la cui offerta ha il valore economico più basso. Nel caso in cui ci sia un gruppo di offerte col medesimo valore economico più basso, tra queste verrà preferita l’offerta sottomessa prima di tutte le altre.</w:t>
      </w:r>
    </w:p>
    <w:p>
      <w:pPr>
        <w:pStyle w:val="Normal"/>
        <w:widowControl/>
        <w:numPr>
          <w:ilvl w:val="0"/>
          <w:numId w:val="0"/>
        </w:numPr>
        <w:tabs>
          <w:tab w:val="clear" w:pos="720"/>
          <w:tab w:val="left" w:pos="0" w:leader="none"/>
        </w:tabs>
        <w:bidi w:val="0"/>
        <w:spacing w:lineRule="auto" w:line="259" w:before="0" w:after="160"/>
        <w:ind w:left="3960" w:right="0" w:hanging="0"/>
        <w:jc w:val="both"/>
        <w:rPr>
          <w:rFonts w:ascii="DejaVu Serif" w:hAnsi="DejaVu Serif"/>
          <w:b w:val="false"/>
          <w:b w:val="false"/>
          <w:bCs w:val="false"/>
          <w:sz w:val="24"/>
          <w:szCs w:val="24"/>
          <w:u w:val="none"/>
        </w:rPr>
      </w:pPr>
      <w:r>
        <w:rPr>
          <w:rFonts w:ascii="DejaVu Serif" w:hAnsi="DejaVu Serif"/>
          <w:b w:val="false"/>
          <w:bCs w:val="false"/>
          <w:sz w:val="24"/>
          <w:szCs w:val="24"/>
          <w:u w:val="none"/>
        </w:rPr>
        <w:t xml:space="preserve"> </w:t>
      </w:r>
      <w:r>
        <w:rPr>
          <w:rFonts w:ascii="DejaVu Serif" w:hAnsi="DejaVu Serif"/>
          <w:b w:val="false"/>
          <w:bCs w:val="false"/>
          <w:sz w:val="24"/>
          <w:szCs w:val="24"/>
          <w:u w:val="none"/>
        </w:rPr>
        <w:tab/>
        <w:tab/>
        <w:tab/>
        <w:tab/>
        <w:tab/>
        <w:tab/>
        <w:tab/>
        <w:tab/>
        <w:tab/>
        <w:t>Il Direttore</w:t>
      </w:r>
    </w:p>
    <w:p>
      <w:pPr>
        <w:pStyle w:val="Normal"/>
        <w:widowControl/>
        <w:numPr>
          <w:ilvl w:val="0"/>
          <w:numId w:val="0"/>
        </w:numPr>
        <w:tabs>
          <w:tab w:val="clear" w:pos="720"/>
          <w:tab w:val="left" w:pos="0" w:leader="none"/>
        </w:tabs>
        <w:bidi w:val="0"/>
        <w:spacing w:lineRule="auto" w:line="259" w:before="0" w:after="160"/>
        <w:ind w:left="3960" w:right="0" w:hanging="0"/>
        <w:jc w:val="both"/>
        <w:rPr>
          <w:rFonts w:ascii="DejaVu Serif" w:hAnsi="DejaVu Serif"/>
          <w:b w:val="false"/>
          <w:b w:val="false"/>
          <w:bCs w:val="false"/>
          <w:sz w:val="24"/>
          <w:szCs w:val="24"/>
          <w:u w:val="none"/>
        </w:rPr>
      </w:pPr>
      <w:r>
        <w:rPr>
          <w:rFonts w:ascii="DejaVu Serif" w:hAnsi="DejaVu Serif"/>
          <w:b w:val="false"/>
          <w:bCs w:val="false"/>
          <w:sz w:val="24"/>
          <w:szCs w:val="24"/>
          <w:u w:val="none"/>
        </w:rPr>
        <w:tab/>
      </w:r>
      <w:r>
        <w:rPr>
          <w:rFonts w:ascii="DejaVu Serif" w:hAnsi="DejaVu Serif"/>
          <w:b w:val="false"/>
          <w:bCs w:val="false"/>
          <w:i/>
          <w:iCs/>
          <w:sz w:val="24"/>
          <w:szCs w:val="24"/>
          <w:u w:val="none"/>
        </w:rPr>
        <w:t>Dr. Giovanni Rinaldi</w:t>
      </w:r>
    </w:p>
    <w:p>
      <w:pPr>
        <w:pStyle w:val="Normal"/>
        <w:widowControl/>
        <w:numPr>
          <w:ilvl w:val="0"/>
          <w:numId w:val="0"/>
        </w:numPr>
        <w:tabs>
          <w:tab w:val="clear" w:pos="720"/>
          <w:tab w:val="left" w:pos="5670" w:leader="none"/>
          <w:tab w:val="left" w:pos="6836" w:leader="none"/>
        </w:tabs>
        <w:bidi w:val="0"/>
        <w:spacing w:lineRule="auto" w:line="259" w:before="0" w:after="160"/>
        <w:ind w:left="3960" w:right="0" w:hanging="0"/>
        <w:jc w:val="both"/>
        <w:rPr>
          <w:rFonts w:ascii="DejaVu Serif" w:hAnsi="DejaVu Serif"/>
          <w:b w:val="false"/>
          <w:b w:val="false"/>
          <w:bCs w:val="false"/>
          <w:sz w:val="24"/>
          <w:szCs w:val="24"/>
          <w:u w:val="none"/>
        </w:rPr>
      </w:pPr>
      <w:r>
        <w:rPr>
          <w:rFonts w:ascii="DejaVu Serif" w:hAnsi="DejaVu Serif"/>
          <w:b w:val="false"/>
          <w:bCs w:val="false"/>
          <w:sz w:val="24"/>
          <w:szCs w:val="24"/>
          <w:u w:val="none"/>
        </w:rPr>
        <w:t xml:space="preserve"> </w:t>
      </w:r>
    </w:p>
    <w:sectPr>
      <w:type w:val="continuous"/>
      <w:pgSz w:w="11906" w:h="16838"/>
      <w:pgMar w:left="1134" w:right="1134" w:header="708" w:top="1417" w:footer="708" w:bottom="1134" w:gutter="0"/>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DejaVu Serif">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drawing>
        <wp:anchor behindDoc="1" distT="0" distB="0" distL="0" distR="0" simplePos="0" locked="0" layoutInCell="1" allowOverlap="1" relativeHeight="2">
          <wp:simplePos x="0" y="0"/>
          <wp:positionH relativeFrom="column">
            <wp:posOffset>1224280</wp:posOffset>
          </wp:positionH>
          <wp:positionV relativeFrom="paragraph">
            <wp:posOffset>-51435</wp:posOffset>
          </wp:positionV>
          <wp:extent cx="3667125" cy="238125"/>
          <wp:effectExtent l="0" t="0" r="0" b="0"/>
          <wp:wrapNone/>
          <wp:docPr id="2" name="Elemento grafico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1" descr=""/>
                  <pic:cNvPicPr>
                    <a:picLocks noChangeAspect="1" noChangeArrowheads="1"/>
                  </pic:cNvPicPr>
                </pic:nvPicPr>
                <pic:blipFill>
                  <a:blip r:embed="rId1"/>
                  <a:stretch>
                    <a:fillRect/>
                  </a:stretch>
                </pic:blipFill>
                <pic:spPr bwMode="auto">
                  <a:xfrm>
                    <a:off x="0" y="0"/>
                    <a:ext cx="3667125" cy="238125"/>
                  </a:xfrm>
                  <a:prstGeom prst="rect">
                    <a:avLst/>
                  </a:prstGeom>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drawing>
        <wp:anchor behindDoc="1" distT="0" distB="0" distL="0" distR="0" simplePos="0" locked="0" layoutInCell="1" allowOverlap="1" relativeHeight="3">
          <wp:simplePos x="0" y="0"/>
          <wp:positionH relativeFrom="page">
            <wp:align>left</wp:align>
          </wp:positionH>
          <wp:positionV relativeFrom="paragraph">
            <wp:posOffset>-450215</wp:posOffset>
          </wp:positionV>
          <wp:extent cx="7560310" cy="1252855"/>
          <wp:effectExtent l="0" t="0" r="0" b="0"/>
          <wp:wrapNone/>
          <wp:docPr id="1" name="Elemento grafico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emento grafico 3" descr=""/>
                  <pic:cNvPicPr>
                    <a:picLocks noChangeAspect="1" noChangeArrowheads="1"/>
                  </pic:cNvPicPr>
                </pic:nvPicPr>
                <pic:blipFill>
                  <a:blip r:embed="rId1"/>
                  <a:stretch>
                    <a:fillRect/>
                  </a:stretch>
                </pic:blipFill>
                <pic:spPr bwMode="auto">
                  <a:xfrm>
                    <a:off x="0" y="0"/>
                    <a:ext cx="7560310" cy="1252855"/>
                  </a:xfrm>
                  <a:prstGeom prst="rect">
                    <a:avLst/>
                  </a:prstGeom>
                </pic:spPr>
              </pic:pic>
            </a:graphicData>
          </a:graphic>
        </wp:anchor>
      </w:drawing>
    </w:r>
  </w:p>
  <w:p>
    <w:pPr>
      <w:pStyle w:val="Header"/>
      <w:tabs>
        <w:tab w:val="clear" w:pos="4819"/>
        <w:tab w:val="clear" w:pos="9638"/>
        <w:tab w:val="left" w:pos="6350" w:leader="none"/>
      </w:tabs>
      <w:rPr/>
    </w:pPr>
    <w:r>
      <w:rPr/>
      <w:tab/>
    </w:r>
  </w:p>
  <w:p>
    <w:pPr>
      <w:pStyle w:val="Header"/>
      <w:rPr/>
    </w:pPr>
    <w:r>
      <w:rPr/>
    </w:r>
  </w:p>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91"/>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umentProtection w:edit="readOnly" w:enforcement="1" w:cryptProviderType="rsaAES" w:cryptAlgorithmClass="hash" w:cryptAlgorithmType="typeAny" w:cryptAlgorithmSid="14" w:cryptSpinCount="100000" w:hash="RnvPIgPYB8AUvOx2N+YeTKsO5YYvjkK97sJxDv91gr1D8exCJhNWlr0zeCIlPGR19lgks4SdtAV0tJUopAzecA==" w:salt="Cq0MvbLcSPNtbxmyadITFQ=="/>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link w:val="Intestazione"/>
    <w:uiPriority w:val="99"/>
    <w:qFormat/>
    <w:rsid w:val="007c5370"/>
    <w:rPr/>
  </w:style>
  <w:style w:type="character" w:styleId="PidipaginaCarattere" w:customStyle="1">
    <w:name w:val="Piè di pagina Carattere"/>
    <w:basedOn w:val="DefaultParagraphFont"/>
    <w:link w:val="Pidipagina"/>
    <w:uiPriority w:val="99"/>
    <w:qFormat/>
    <w:rsid w:val="007c5370"/>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HeaderandFooter">
    <w:name w:val="Header and Footer"/>
    <w:basedOn w:val="Normal"/>
    <w:qFormat/>
    <w:pPr/>
    <w:rPr/>
  </w:style>
  <w:style w:type="paragraph" w:styleId="Header">
    <w:name w:val="Header"/>
    <w:basedOn w:val="Normal"/>
    <w:link w:val="IntestazioneCarattere"/>
    <w:uiPriority w:val="99"/>
    <w:unhideWhenUsed/>
    <w:rsid w:val="007c5370"/>
    <w:pPr>
      <w:tabs>
        <w:tab w:val="clear" w:pos="720"/>
        <w:tab w:val="center" w:pos="4819" w:leader="none"/>
        <w:tab w:val="right" w:pos="9638" w:leader="none"/>
      </w:tabs>
      <w:spacing w:lineRule="auto" w:line="240" w:before="0" w:after="0"/>
    </w:pPr>
    <w:rPr/>
  </w:style>
  <w:style w:type="paragraph" w:styleId="Footer">
    <w:name w:val="Footer"/>
    <w:basedOn w:val="Normal"/>
    <w:link w:val="PidipaginaCarattere"/>
    <w:uiPriority w:val="99"/>
    <w:unhideWhenUsed/>
    <w:rsid w:val="007c5370"/>
    <w:pPr>
      <w:tabs>
        <w:tab w:val="clear" w:pos="720"/>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_rels/footer2.xml.rels><?xml version="1.0" encoding="UTF-8"?>
<Relationships xmlns="http://schemas.openxmlformats.org/package/2006/relationships"><Relationship Id="rId1" Type="http://schemas.openxmlformats.org/officeDocument/2006/relationships/image" Target="media/image2.png"/>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74CDA7-61B5-40B4-88D8-662C56FCB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Application>LibreOffice/6.4.4.2$Linux_X86_64 LibreOffice_project/40$Build-2</Application>
  <Pages>1</Pages>
  <Words>351</Words>
  <Characters>2031</Characters>
  <CharactersWithSpaces>2387</CharactersWithSpaces>
  <Paragraphs>8</Paragraphs>
  <Company>Consiglio Nazionale delle Ricerche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2019-07-29T06:25:00Z</dcterms:created>
  <dc:creator>grinaldi</dc:creator>
  <dc:description/>
  <dc:language>it-IT</dc:language>
  <cp:lastModifiedBy>Giovanni Rinaldi</cp:lastModifiedBy>
  <dcterms:modified xsi:type="dcterms:W3CDTF">2020-07-22T19:08:50Z</dcterms:modified>
  <cp:revision>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Consiglio Nazionale delle Ricerche</vt:lpwstr>
  </property>
  <property fmtid="{D5CDD505-2E9C-101B-9397-08002B2CF9AE}" pid="4" name="DocSecurity">
    <vt:i4>8</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